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77777777" w:rsidR="00672F55" w:rsidRDefault="00AF1D46" w:rsidP="00BF4785">
      <w:bookmarkStart w:id="0" w:name="_GoBack"/>
      <w:r>
        <w:rPr>
          <w:noProof/>
        </w:rPr>
        <w:drawing>
          <wp:anchor distT="0" distB="0" distL="114300" distR="114300" simplePos="0" relativeHeight="251685888" behindDoc="1" locked="0" layoutInCell="1" allowOverlap="1" wp14:anchorId="59EB9419" wp14:editId="4B40B53A">
            <wp:simplePos x="0" y="0"/>
            <wp:positionH relativeFrom="column">
              <wp:posOffset>-740824</wp:posOffset>
            </wp:positionH>
            <wp:positionV relativeFrom="paragraph">
              <wp:posOffset>-551815</wp:posOffset>
            </wp:positionV>
            <wp:extent cx="7792278" cy="129022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792278" cy="1290225"/>
                    </a:xfrm>
                    <a:prstGeom prst="rect">
                      <a:avLst/>
                    </a:prstGeom>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E40387">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6"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7"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8" w:history="1">
        <w:r w:rsidRPr="00CF7608">
          <w:rPr>
            <w:rStyle w:val="Hyperlink"/>
            <w:color w:val="auto"/>
            <w:u w:val="none"/>
          </w:rPr>
          <w:t>jsafox@ucanr.edu</w:t>
        </w:r>
      </w:hyperlink>
      <w:r w:rsidRPr="00CF7608">
        <w:t xml:space="preserve">.  </w:t>
      </w:r>
      <w:r w:rsidRPr="00CF7608">
        <w:br/>
        <w:t xml:space="preserve">Website: </w:t>
      </w:r>
      <w:hyperlink r:id="rId19"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20"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9E8FF" w14:textId="77777777" w:rsidR="00E40387" w:rsidRDefault="00E40387" w:rsidP="0018351F">
      <w:r>
        <w:separator/>
      </w:r>
    </w:p>
    <w:p w14:paraId="485C5434" w14:textId="77777777" w:rsidR="00E40387" w:rsidRDefault="00E40387"/>
  </w:endnote>
  <w:endnote w:type="continuationSeparator" w:id="0">
    <w:p w14:paraId="2B0082E6" w14:textId="77777777" w:rsidR="00E40387" w:rsidRDefault="00E40387" w:rsidP="0018351F">
      <w:r>
        <w:continuationSeparator/>
      </w:r>
    </w:p>
    <w:p w14:paraId="4DAA6A6D" w14:textId="77777777" w:rsidR="00E40387" w:rsidRDefault="00E403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1ADCB6" w14:textId="77777777" w:rsidR="00E40387" w:rsidRDefault="00E40387" w:rsidP="0018351F">
      <w:r>
        <w:separator/>
      </w:r>
    </w:p>
    <w:p w14:paraId="45923072" w14:textId="77777777" w:rsidR="00E40387" w:rsidRDefault="00E40387"/>
  </w:footnote>
  <w:footnote w:type="continuationSeparator" w:id="0">
    <w:p w14:paraId="451801BB" w14:textId="77777777" w:rsidR="00E40387" w:rsidRDefault="00E40387" w:rsidP="0018351F">
      <w:r>
        <w:continuationSeparator/>
      </w:r>
    </w:p>
    <w:p w14:paraId="450745EA" w14:textId="77777777" w:rsidR="00E40387" w:rsidRDefault="00E403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E4038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D2D45"/>
    <w:rsid w:val="000F0897"/>
    <w:rsid w:val="000F4DA2"/>
    <w:rsid w:val="001065C2"/>
    <w:rsid w:val="00133C56"/>
    <w:rsid w:val="0014143F"/>
    <w:rsid w:val="00177CB2"/>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B4797"/>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901EFC"/>
    <w:rsid w:val="00913D74"/>
    <w:rsid w:val="00913F7C"/>
    <w:rsid w:val="009411A3"/>
    <w:rsid w:val="0097224D"/>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A2EC8"/>
    <w:rsid w:val="00DC6BB5"/>
    <w:rsid w:val="00DE01A3"/>
    <w:rsid w:val="00DE4230"/>
    <w:rsid w:val="00DF45FE"/>
    <w:rsid w:val="00DF7E79"/>
    <w:rsid w:val="00E05660"/>
    <w:rsid w:val="00E16531"/>
    <w:rsid w:val="00E40387"/>
    <w:rsid w:val="00E5661F"/>
    <w:rsid w:val="00E76CF3"/>
    <w:rsid w:val="00E85E4F"/>
    <w:rsid w:val="00EA11A4"/>
    <w:rsid w:val="00EA546B"/>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jsafox@ucanr.ed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ucanr.edu/sites/anrstaff/files/215246.pdf"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ucanr.edu/sites/anrstaff/Diversity/Affirmative_A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C9640-5395-A040-8C5A-6BD85C0B4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31</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5</cp:revision>
  <cp:lastPrinted>2019-08-08T18:45:00Z</cp:lastPrinted>
  <dcterms:created xsi:type="dcterms:W3CDTF">2019-08-08T17:52:00Z</dcterms:created>
  <dcterms:modified xsi:type="dcterms:W3CDTF">2020-01-27T22:22:00Z</dcterms:modified>
</cp:coreProperties>
</file>